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9F" w:rsidRDefault="009A6E11" w:rsidP="0092509F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809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9F" w:rsidRDefault="0092509F" w:rsidP="0092509F">
      <w:pPr>
        <w:spacing w:after="0"/>
        <w:jc w:val="center"/>
        <w:rPr>
          <w:b/>
        </w:rPr>
      </w:pPr>
    </w:p>
    <w:p w:rsidR="0092509F" w:rsidRDefault="0092509F" w:rsidP="0092509F">
      <w:pPr>
        <w:spacing w:after="0"/>
        <w:jc w:val="center"/>
        <w:rPr>
          <w:b/>
        </w:rPr>
      </w:pPr>
    </w:p>
    <w:p w:rsidR="0092509F" w:rsidRDefault="0092509F" w:rsidP="0092509F">
      <w:pPr>
        <w:spacing w:after="0"/>
        <w:jc w:val="center"/>
        <w:rPr>
          <w:b/>
        </w:rPr>
      </w:pPr>
      <w:r w:rsidRPr="0092509F">
        <w:rPr>
          <w:b/>
        </w:rPr>
        <w:t>Sample Letter to the Editor</w:t>
      </w:r>
    </w:p>
    <w:p w:rsidR="001D1A5C" w:rsidRDefault="001D1A5C" w:rsidP="0092509F">
      <w:pPr>
        <w:spacing w:after="0"/>
        <w:jc w:val="center"/>
        <w:rPr>
          <w:b/>
        </w:rPr>
      </w:pPr>
    </w:p>
    <w:p w:rsidR="001D1A5C" w:rsidRDefault="001D1A5C" w:rsidP="001D1A5C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Letters to the editor</w:t>
      </w:r>
      <w:r w:rsidRPr="004F3BF4">
        <w:rPr>
          <w:rFonts w:cs="Calibri"/>
        </w:rPr>
        <w:t xml:space="preserve"> </w:t>
      </w:r>
      <w:r w:rsidR="00FB0B78">
        <w:rPr>
          <w:rFonts w:cs="Calibri"/>
        </w:rPr>
        <w:t>respond to a recent article and</w:t>
      </w:r>
      <w:r w:rsidR="00FB0B78" w:rsidRPr="004F3BF4">
        <w:rPr>
          <w:rFonts w:cs="Calibri"/>
        </w:rPr>
        <w:t xml:space="preserve"> </w:t>
      </w:r>
      <w:r w:rsidRPr="004F3BF4">
        <w:rPr>
          <w:rFonts w:cs="Calibri"/>
        </w:rPr>
        <w:t xml:space="preserve">are traditionally </w:t>
      </w:r>
      <w:r>
        <w:rPr>
          <w:rFonts w:cs="Calibri"/>
        </w:rPr>
        <w:t>between</w:t>
      </w:r>
      <w:r w:rsidRPr="004F3BF4">
        <w:rPr>
          <w:rFonts w:cs="Calibri"/>
        </w:rPr>
        <w:t xml:space="preserve"> </w:t>
      </w:r>
      <w:r>
        <w:rPr>
          <w:rFonts w:cs="Calibri"/>
        </w:rPr>
        <w:t>150 and 200</w:t>
      </w:r>
      <w:r w:rsidRPr="004F3BF4">
        <w:rPr>
          <w:rFonts w:cs="Calibri"/>
        </w:rPr>
        <w:t xml:space="preserve"> words</w:t>
      </w:r>
      <w:r w:rsidR="00FB0B78">
        <w:rPr>
          <w:rFonts w:cs="Calibri"/>
        </w:rPr>
        <w:t xml:space="preserve"> (check </w:t>
      </w:r>
      <w:r w:rsidRPr="004F3BF4">
        <w:rPr>
          <w:rFonts w:cs="Calibri"/>
        </w:rPr>
        <w:t xml:space="preserve">your local paper </w:t>
      </w:r>
      <w:r w:rsidR="00FB0B78">
        <w:rPr>
          <w:rFonts w:cs="Calibri"/>
        </w:rPr>
        <w:t>for specific</w:t>
      </w:r>
      <w:r w:rsidRPr="004F3BF4">
        <w:rPr>
          <w:rFonts w:cs="Calibri"/>
        </w:rPr>
        <w:t xml:space="preserve"> requirements</w:t>
      </w:r>
      <w:r w:rsidR="00FB0B78">
        <w:rPr>
          <w:rFonts w:cs="Calibri"/>
        </w:rPr>
        <w:t>)</w:t>
      </w:r>
      <w:r w:rsidRPr="004F3BF4">
        <w:rPr>
          <w:rFonts w:cs="Calibri"/>
        </w:rPr>
        <w:t xml:space="preserve">. </w:t>
      </w:r>
      <w:r w:rsidR="00555B6D">
        <w:rPr>
          <w:rFonts w:cs="Calibri"/>
        </w:rPr>
        <w:t>They provide an opportunity to demonstrate leadership, and make a single, clear point that expands on what was covered in the original article.</w:t>
      </w:r>
      <w:r w:rsidRPr="004F3BF4">
        <w:rPr>
          <w:rFonts w:cs="Calibri"/>
        </w:rPr>
        <w:t xml:space="preserve"> </w:t>
      </w:r>
    </w:p>
    <w:p w:rsidR="001D1A5C" w:rsidRDefault="001D1A5C" w:rsidP="001D1A5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cs="Calibri"/>
        </w:rPr>
      </w:pPr>
    </w:p>
    <w:p w:rsidR="0092509F" w:rsidRDefault="0092509F" w:rsidP="00D97330">
      <w:pPr>
        <w:spacing w:after="0"/>
      </w:pPr>
    </w:p>
    <w:p w:rsidR="00D97330" w:rsidRDefault="00D97330" w:rsidP="00D97330">
      <w:pPr>
        <w:spacing w:after="0"/>
      </w:pPr>
      <w:r>
        <w:t>Dear Editor,</w:t>
      </w:r>
    </w:p>
    <w:p w:rsidR="00D97330" w:rsidRDefault="00D97330" w:rsidP="00D97330">
      <w:pPr>
        <w:spacing w:after="0"/>
      </w:pPr>
    </w:p>
    <w:p w:rsidR="008731A4" w:rsidRDefault="00FB0B78" w:rsidP="008731A4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rFonts w:cs="Calibri"/>
        </w:rPr>
        <w:t>“</w:t>
      </w:r>
      <w:r w:rsidR="008522DC">
        <w:rPr>
          <w:rFonts w:cs="Calibri"/>
        </w:rPr>
        <w:t>[</w:t>
      </w:r>
      <w:r w:rsidRPr="008522DC">
        <w:rPr>
          <w:rFonts w:cs="Calibri"/>
          <w:b/>
        </w:rPr>
        <w:t>ARTICLE TITLE</w:t>
      </w:r>
      <w:r w:rsidR="008522DC">
        <w:rPr>
          <w:rFonts w:cs="Calibri"/>
        </w:rPr>
        <w:t>]</w:t>
      </w:r>
      <w:r>
        <w:rPr>
          <w:rFonts w:cs="Calibri"/>
        </w:rPr>
        <w:t xml:space="preserve">” raised the critical issue of affordable housing in our community. </w:t>
      </w:r>
      <w:r w:rsidR="00C34F2C">
        <w:rPr>
          <w:rFonts w:cs="Calibri"/>
        </w:rPr>
        <w:t xml:space="preserve">Our and </w:t>
      </w:r>
      <w:r w:rsidR="00555B6D" w:rsidRPr="00224A8F">
        <w:rPr>
          <w:rFonts w:asciiTheme="minorHAnsi" w:hAnsiTheme="minorHAnsi" w:cstheme="minorHAnsi"/>
        </w:rPr>
        <w:t xml:space="preserve">America’s main tool for </w:t>
      </w:r>
      <w:r w:rsidR="00C34F2C">
        <w:rPr>
          <w:rFonts w:asciiTheme="minorHAnsi" w:hAnsiTheme="minorHAnsi" w:cstheme="minorHAnsi"/>
        </w:rPr>
        <w:t>creating</w:t>
      </w:r>
      <w:r w:rsidR="00555B6D" w:rsidRPr="00224A8F">
        <w:rPr>
          <w:rFonts w:asciiTheme="minorHAnsi" w:hAnsiTheme="minorHAnsi" w:cstheme="minorHAnsi"/>
        </w:rPr>
        <w:t xml:space="preserve"> affordable housing—the Low Income Housing Tax Credit (Housing Credit)—is currently under threat as part of </w:t>
      </w:r>
      <w:r w:rsidR="009A6E11">
        <w:rPr>
          <w:rFonts w:asciiTheme="minorHAnsi" w:hAnsiTheme="minorHAnsi" w:cstheme="minorHAnsi"/>
        </w:rPr>
        <w:t>federal</w:t>
      </w:r>
      <w:r w:rsidR="00555B6D" w:rsidRPr="00224A8F">
        <w:rPr>
          <w:rFonts w:asciiTheme="minorHAnsi" w:hAnsiTheme="minorHAnsi" w:cstheme="minorHAnsi"/>
        </w:rPr>
        <w:t xml:space="preserve"> tax reform. </w:t>
      </w:r>
      <w:r w:rsidR="008731A4">
        <w:rPr>
          <w:rFonts w:cs="Calibri"/>
        </w:rPr>
        <w:t xml:space="preserve">Here in </w:t>
      </w:r>
      <w:r w:rsidR="008731A4" w:rsidRPr="00E16DE2">
        <w:rPr>
          <w:rFonts w:cs="Calibri"/>
          <w:b/>
        </w:rPr>
        <w:t>[state</w:t>
      </w:r>
      <w:r w:rsidR="00AF6480">
        <w:rPr>
          <w:rFonts w:cs="Calibri"/>
          <w:b/>
        </w:rPr>
        <w:t>/district</w:t>
      </w:r>
      <w:r w:rsidR="008731A4" w:rsidRPr="00E16DE2">
        <w:rPr>
          <w:rFonts w:cs="Calibri"/>
          <w:b/>
        </w:rPr>
        <w:t>]</w:t>
      </w:r>
      <w:r w:rsidR="008731A4">
        <w:rPr>
          <w:rFonts w:cs="Calibri"/>
        </w:rPr>
        <w:t xml:space="preserve">, we’ve benefited from </w:t>
      </w:r>
      <w:r w:rsidR="008731A4" w:rsidRPr="00E16DE2">
        <w:rPr>
          <w:b/>
          <w:color w:val="000000"/>
        </w:rPr>
        <w:t>[#]</w:t>
      </w:r>
      <w:r w:rsidR="008731A4">
        <w:rPr>
          <w:color w:val="000000"/>
        </w:rPr>
        <w:t xml:space="preserve"> affordable apartments, </w:t>
      </w:r>
      <w:r w:rsidR="008731A4" w:rsidRPr="00E16DE2">
        <w:rPr>
          <w:b/>
          <w:color w:val="000000"/>
        </w:rPr>
        <w:t>[#]</w:t>
      </w:r>
      <w:r w:rsidR="006E58F5">
        <w:rPr>
          <w:b/>
          <w:color w:val="000000"/>
        </w:rPr>
        <w:t xml:space="preserve"> </w:t>
      </w:r>
      <w:r w:rsidR="005D1B3C">
        <w:rPr>
          <w:color w:val="000000"/>
        </w:rPr>
        <w:t>new</w:t>
      </w:r>
      <w:r w:rsidR="008731A4">
        <w:rPr>
          <w:color w:val="000000"/>
        </w:rPr>
        <w:t xml:space="preserve"> jobs and $ </w:t>
      </w:r>
      <w:r w:rsidR="008731A4" w:rsidRPr="00E16DE2">
        <w:rPr>
          <w:b/>
          <w:color w:val="000000"/>
        </w:rPr>
        <w:t>[#]</w:t>
      </w:r>
      <w:r w:rsidR="008731A4">
        <w:rPr>
          <w:color w:val="000000"/>
        </w:rPr>
        <w:t xml:space="preserve"> of local income </w:t>
      </w:r>
      <w:r w:rsidR="008731A4" w:rsidRPr="00E16DE2">
        <w:rPr>
          <w:b/>
          <w:color w:val="000000"/>
        </w:rPr>
        <w:t>[</w:t>
      </w:r>
      <w:r w:rsidR="005D1B3C" w:rsidRPr="00E16DE2">
        <w:rPr>
          <w:b/>
          <w:i/>
          <w:color w:val="000000"/>
        </w:rPr>
        <w:t>s</w:t>
      </w:r>
      <w:r w:rsidR="008731A4" w:rsidRPr="00E16DE2">
        <w:rPr>
          <w:b/>
          <w:i/>
          <w:color w:val="000000"/>
        </w:rPr>
        <w:t xml:space="preserve">ee </w:t>
      </w:r>
      <w:hyperlink r:id="rId6" w:history="1">
        <w:r w:rsidR="008731A4" w:rsidRPr="00E16DE2">
          <w:rPr>
            <w:rStyle w:val="Hyperlink"/>
            <w:b/>
            <w:i/>
          </w:rPr>
          <w:t>state fact sheets</w:t>
        </w:r>
      </w:hyperlink>
      <w:r w:rsidR="008731A4" w:rsidRPr="00E16DE2">
        <w:rPr>
          <w:b/>
          <w:i/>
          <w:color w:val="000000"/>
        </w:rPr>
        <w:t xml:space="preserve"> </w:t>
      </w:r>
      <w:r w:rsidR="00AF6480">
        <w:rPr>
          <w:b/>
          <w:i/>
          <w:color w:val="000000"/>
        </w:rPr>
        <w:t xml:space="preserve">or </w:t>
      </w:r>
      <w:hyperlink r:id="rId7" w:history="1">
        <w:r w:rsidR="00AF6480" w:rsidRPr="00AF6480">
          <w:rPr>
            <w:rStyle w:val="Hyperlink"/>
            <w:b/>
            <w:i/>
          </w:rPr>
          <w:t>district fact sheets</w:t>
        </w:r>
      </w:hyperlink>
      <w:r w:rsidR="00AF6480">
        <w:rPr>
          <w:b/>
          <w:i/>
          <w:color w:val="000000"/>
        </w:rPr>
        <w:t xml:space="preserve"> </w:t>
      </w:r>
      <w:r w:rsidR="008731A4" w:rsidRPr="00E16DE2">
        <w:rPr>
          <w:b/>
          <w:i/>
          <w:color w:val="000000"/>
        </w:rPr>
        <w:t xml:space="preserve">for your </w:t>
      </w:r>
      <w:r w:rsidR="00AF6480">
        <w:rPr>
          <w:b/>
          <w:i/>
          <w:color w:val="000000"/>
        </w:rPr>
        <w:t>community</w:t>
      </w:r>
      <w:r w:rsidR="00AF6480" w:rsidRPr="00E16DE2">
        <w:rPr>
          <w:b/>
          <w:i/>
          <w:color w:val="000000"/>
        </w:rPr>
        <w:t xml:space="preserve">’s </w:t>
      </w:r>
      <w:r w:rsidR="008731A4" w:rsidRPr="00E16DE2">
        <w:rPr>
          <w:b/>
          <w:i/>
          <w:color w:val="000000"/>
        </w:rPr>
        <w:t>numbers</w:t>
      </w:r>
      <w:r w:rsidR="008731A4" w:rsidRPr="00E16DE2">
        <w:rPr>
          <w:b/>
          <w:color w:val="000000"/>
        </w:rPr>
        <w:t>]</w:t>
      </w:r>
      <w:r w:rsidR="008731A4">
        <w:rPr>
          <w:color w:val="000000"/>
        </w:rPr>
        <w:t xml:space="preserve"> thanks to the </w:t>
      </w:r>
      <w:r w:rsidR="00555B6D">
        <w:rPr>
          <w:color w:val="000000"/>
        </w:rPr>
        <w:t xml:space="preserve">Housing Credit. </w:t>
      </w:r>
    </w:p>
    <w:p w:rsidR="008731A4" w:rsidRDefault="008731A4" w:rsidP="008731A4">
      <w:pPr>
        <w:autoSpaceDE w:val="0"/>
        <w:autoSpaceDN w:val="0"/>
        <w:adjustRightInd w:val="0"/>
        <w:spacing w:after="0"/>
        <w:rPr>
          <w:color w:val="000000"/>
        </w:rPr>
      </w:pPr>
    </w:p>
    <w:p w:rsidR="00555B6D" w:rsidRDefault="00555B6D" w:rsidP="00D97330">
      <w:pPr>
        <w:spacing w:after="0"/>
        <w:jc w:val="both"/>
        <w:rPr>
          <w:rFonts w:cs="Arial"/>
        </w:rPr>
      </w:pPr>
      <w:r w:rsidRPr="005F01F4">
        <w:rPr>
          <w:rFonts w:cs="Arial"/>
        </w:rPr>
        <w:t xml:space="preserve">A flexible tool that </w:t>
      </w:r>
      <w:r w:rsidR="00C34F2C">
        <w:rPr>
          <w:rFonts w:cs="Arial"/>
        </w:rPr>
        <w:t>is</w:t>
      </w:r>
      <w:r w:rsidRPr="005F01F4">
        <w:rPr>
          <w:rFonts w:cs="Arial"/>
        </w:rPr>
        <w:t xml:space="preserve"> targeted to </w:t>
      </w:r>
      <w:r>
        <w:rPr>
          <w:rFonts w:cs="Arial"/>
        </w:rPr>
        <w:t xml:space="preserve">meet </w:t>
      </w:r>
      <w:r w:rsidRPr="005F01F4">
        <w:rPr>
          <w:rFonts w:cs="Arial"/>
        </w:rPr>
        <w:t xml:space="preserve">specific local </w:t>
      </w:r>
      <w:r>
        <w:rPr>
          <w:rFonts w:cs="Arial"/>
        </w:rPr>
        <w:t>needs</w:t>
      </w:r>
      <w:r w:rsidRPr="005F01F4">
        <w:rPr>
          <w:rFonts w:cs="Arial"/>
        </w:rPr>
        <w:t>, the Housing Credit creates quality affordable housing for working families and our most vulnerable populations, people with special needs, the elderly, veterans and the homeless</w:t>
      </w:r>
      <w:r w:rsidR="009A6E11">
        <w:rPr>
          <w:rFonts w:cs="Arial"/>
        </w:rPr>
        <w:t>, to name a few</w:t>
      </w:r>
      <w:r w:rsidRPr="005F01F4">
        <w:rPr>
          <w:rFonts w:cs="Arial"/>
        </w:rPr>
        <w:t xml:space="preserve">. </w:t>
      </w:r>
    </w:p>
    <w:p w:rsidR="00555B6D" w:rsidRDefault="00555B6D" w:rsidP="00D97330">
      <w:pPr>
        <w:spacing w:after="0"/>
        <w:jc w:val="both"/>
        <w:rPr>
          <w:rFonts w:cs="Arial"/>
        </w:rPr>
      </w:pPr>
    </w:p>
    <w:p w:rsidR="00A81960" w:rsidRPr="00177E3D" w:rsidRDefault="009A6E11" w:rsidP="009A6E11">
      <w:pPr>
        <w:spacing w:after="0"/>
        <w:jc w:val="both"/>
      </w:pPr>
      <w:r>
        <w:rPr>
          <w:color w:val="000000"/>
        </w:rPr>
        <w:t xml:space="preserve">It’s up to us as a community to let </w:t>
      </w:r>
      <w:r w:rsidRPr="00E16DE2">
        <w:rPr>
          <w:b/>
        </w:rPr>
        <w:t>[</w:t>
      </w:r>
      <w:hyperlink r:id="rId8" w:history="1">
        <w:r w:rsidRPr="008522DC">
          <w:rPr>
            <w:rStyle w:val="Hyperlink"/>
            <w:b/>
            <w:i/>
          </w:rPr>
          <w:t>your Congressperson and/or Senator</w:t>
        </w:r>
      </w:hyperlink>
      <w:r w:rsidRPr="00E16DE2">
        <w:rPr>
          <w:b/>
        </w:rPr>
        <w:t>]</w:t>
      </w:r>
      <w:r w:rsidRPr="001F1A4C">
        <w:t xml:space="preserve"> </w:t>
      </w:r>
      <w:r>
        <w:t>know that we support affordable housing and that we</w:t>
      </w:r>
      <w:r w:rsidR="00555B6D">
        <w:rPr>
          <w:color w:val="000000"/>
        </w:rPr>
        <w:t xml:space="preserve"> can’t afford</w:t>
      </w:r>
      <w:r>
        <w:rPr>
          <w:color w:val="000000"/>
        </w:rPr>
        <w:t xml:space="preserve"> to lose this critical resource.</w:t>
      </w:r>
    </w:p>
    <w:p w:rsidR="00DA626A" w:rsidRDefault="00DA626A" w:rsidP="00D97330">
      <w:pPr>
        <w:spacing w:after="0"/>
      </w:pPr>
    </w:p>
    <w:p w:rsidR="00D97330" w:rsidRPr="00FF5777" w:rsidRDefault="00D97330" w:rsidP="00D97330">
      <w:pPr>
        <w:spacing w:after="0"/>
        <w:rPr>
          <w:b/>
          <w:i/>
        </w:rPr>
      </w:pPr>
      <w:r w:rsidRPr="00FF5777">
        <w:rPr>
          <w:b/>
          <w:i/>
        </w:rPr>
        <w:t>[Name]</w:t>
      </w:r>
    </w:p>
    <w:p w:rsidR="00D97330" w:rsidRPr="00FF5777" w:rsidRDefault="00D97330" w:rsidP="00D97330">
      <w:pPr>
        <w:spacing w:after="0"/>
        <w:rPr>
          <w:b/>
          <w:i/>
        </w:rPr>
      </w:pPr>
      <w:r w:rsidRPr="00FF5777">
        <w:rPr>
          <w:b/>
          <w:i/>
        </w:rPr>
        <w:t>[Organization]</w:t>
      </w:r>
    </w:p>
    <w:p w:rsidR="00D97330" w:rsidRPr="00FF5777" w:rsidRDefault="00D97330" w:rsidP="00D97330">
      <w:pPr>
        <w:spacing w:after="0"/>
        <w:rPr>
          <w:b/>
          <w:i/>
        </w:rPr>
      </w:pPr>
      <w:r w:rsidRPr="00FF5777">
        <w:rPr>
          <w:b/>
          <w:i/>
        </w:rPr>
        <w:t>[Local Address/Contact Information]</w:t>
      </w:r>
    </w:p>
    <w:p w:rsidR="00D97330" w:rsidRDefault="00D97330" w:rsidP="00BB3C50">
      <w:pPr>
        <w:spacing w:after="0"/>
      </w:pPr>
    </w:p>
    <w:sectPr w:rsidR="00D97330" w:rsidSect="00E4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7DCE"/>
    <w:multiLevelType w:val="hybridMultilevel"/>
    <w:tmpl w:val="23C6A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794D"/>
    <w:rsid w:val="000677D9"/>
    <w:rsid w:val="000C386A"/>
    <w:rsid w:val="000E3520"/>
    <w:rsid w:val="001422B6"/>
    <w:rsid w:val="00150653"/>
    <w:rsid w:val="001D1A5C"/>
    <w:rsid w:val="001F1A4C"/>
    <w:rsid w:val="00210D68"/>
    <w:rsid w:val="002E2363"/>
    <w:rsid w:val="00394527"/>
    <w:rsid w:val="003D1BC1"/>
    <w:rsid w:val="00411D86"/>
    <w:rsid w:val="004E1828"/>
    <w:rsid w:val="00555B6D"/>
    <w:rsid w:val="00583F77"/>
    <w:rsid w:val="005B377D"/>
    <w:rsid w:val="005B4767"/>
    <w:rsid w:val="005D1B3C"/>
    <w:rsid w:val="00652B2D"/>
    <w:rsid w:val="006E58F5"/>
    <w:rsid w:val="0078794D"/>
    <w:rsid w:val="00792C54"/>
    <w:rsid w:val="007D20CD"/>
    <w:rsid w:val="00837087"/>
    <w:rsid w:val="008522DC"/>
    <w:rsid w:val="00862303"/>
    <w:rsid w:val="00863A92"/>
    <w:rsid w:val="008668BA"/>
    <w:rsid w:val="008731A4"/>
    <w:rsid w:val="0092509F"/>
    <w:rsid w:val="00936976"/>
    <w:rsid w:val="009A6E11"/>
    <w:rsid w:val="00A81960"/>
    <w:rsid w:val="00AF6480"/>
    <w:rsid w:val="00BB3C50"/>
    <w:rsid w:val="00BD57FF"/>
    <w:rsid w:val="00C34F2C"/>
    <w:rsid w:val="00C96F27"/>
    <w:rsid w:val="00D20D97"/>
    <w:rsid w:val="00D72D32"/>
    <w:rsid w:val="00D82528"/>
    <w:rsid w:val="00D840D9"/>
    <w:rsid w:val="00D97330"/>
    <w:rsid w:val="00DA626A"/>
    <w:rsid w:val="00DE1E0D"/>
    <w:rsid w:val="00E16DE2"/>
    <w:rsid w:val="00E424A7"/>
    <w:rsid w:val="00E6019C"/>
    <w:rsid w:val="00F33D21"/>
    <w:rsid w:val="00FB0B78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1BC1"/>
    <w:pPr>
      <w:spacing w:before="100" w:beforeAutospacing="1" w:after="100" w:afterAutospacing="1" w:line="240" w:lineRule="auto"/>
    </w:pPr>
    <w:rPr>
      <w:rFonts w:ascii="Verdana" w:hAnsi="Verdana"/>
      <w:color w:val="000000"/>
      <w:sz w:val="27"/>
      <w:szCs w:val="27"/>
    </w:rPr>
  </w:style>
  <w:style w:type="paragraph" w:customStyle="1" w:styleId="Default">
    <w:name w:val="Default"/>
    <w:uiPriority w:val="99"/>
    <w:rsid w:val="003D1B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0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9C"/>
    <w:rPr>
      <w:b/>
      <w:bCs/>
    </w:rPr>
  </w:style>
  <w:style w:type="paragraph" w:styleId="Revision">
    <w:name w:val="Revision"/>
    <w:hidden/>
    <w:uiPriority w:val="99"/>
    <w:semiHidden/>
    <w:rsid w:val="00FB0B7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rack.us/congress/members/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ntalhousingaction.org/state-fact-sheets/district-fact-sheet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talhousingaction.org/state-fact-shee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</Company>
  <LinksUpToDate>false</LinksUpToDate>
  <CharactersWithSpaces>1520</CharactersWithSpaces>
  <SharedDoc>false</SharedDoc>
  <HLinks>
    <vt:vector size="24" baseType="variant">
      <vt:variant>
        <vt:i4>4653079</vt:i4>
      </vt:variant>
      <vt:variant>
        <vt:i4>9</vt:i4>
      </vt:variant>
      <vt:variant>
        <vt:i4>0</vt:i4>
      </vt:variant>
      <vt:variant>
        <vt:i4>5</vt:i4>
      </vt:variant>
      <vt:variant>
        <vt:lpwstr>http://www.rentalhousingaction.org/files/HR 3661 Cosponsors List for Website.pdf</vt:lpwstr>
      </vt:variant>
      <vt:variant>
        <vt:lpwstr/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>http://www.rentalhousingaction.org/files/S 1989 Cosponsors List 10 31 12.pdf</vt:lpwstr>
      </vt:variant>
      <vt:variant>
        <vt:lpwstr/>
      </vt:variant>
      <vt:variant>
        <vt:i4>4653079</vt:i4>
      </vt:variant>
      <vt:variant>
        <vt:i4>3</vt:i4>
      </vt:variant>
      <vt:variant>
        <vt:i4>0</vt:i4>
      </vt:variant>
      <vt:variant>
        <vt:i4>5</vt:i4>
      </vt:variant>
      <vt:variant>
        <vt:lpwstr>http://www.rentalhousingaction.org/files/HR 3661 Cosponsors List for Website.pdf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http://www.rentalhousingaction.org/state-fact-sheets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ecadik</dc:creator>
  <cp:lastModifiedBy>ecadik</cp:lastModifiedBy>
  <cp:revision>4</cp:revision>
  <dcterms:created xsi:type="dcterms:W3CDTF">2013-03-28T13:53:00Z</dcterms:created>
  <dcterms:modified xsi:type="dcterms:W3CDTF">2013-03-28T14:34:00Z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